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F" w:rsidRDefault="00147D5F" w:rsidP="006D1D16">
      <w:pPr>
        <w:rPr>
          <w:color w:val="000000"/>
          <w:sz w:val="27"/>
          <w:szCs w:val="27"/>
        </w:rPr>
      </w:pPr>
    </w:p>
    <w:p w:rsidR="00A90D98" w:rsidRPr="00721FE5" w:rsidRDefault="00A90D98" w:rsidP="00C76C15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721FE5">
        <w:rPr>
          <w:sz w:val="28"/>
          <w:szCs w:val="28"/>
        </w:rPr>
        <w:t>О моратории на проведение мероприятии по контролю</w:t>
      </w:r>
    </w:p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A90D98" w:rsidRPr="002618D2" w:rsidRDefault="00A90D98" w:rsidP="00721FE5">
      <w:pPr>
        <w:shd w:val="clear" w:color="auto" w:fill="FFFFFF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В целях </w:t>
      </w:r>
      <w:r w:rsidRPr="002618D2">
        <w:rPr>
          <w:sz w:val="28"/>
          <w:szCs w:val="28"/>
        </w:rPr>
        <w:t xml:space="preserve">защиты здоровья населения и нераспространения </w:t>
      </w:r>
      <w:proofErr w:type="spellStart"/>
      <w:r w:rsidRPr="002618D2">
        <w:rPr>
          <w:sz w:val="28"/>
          <w:szCs w:val="28"/>
        </w:rPr>
        <w:t>коронавирусной</w:t>
      </w:r>
      <w:proofErr w:type="spellEnd"/>
      <w:r w:rsidRPr="002618D2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Соответствующие изменения Законом № 98-ФЗ внесены в статью 262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 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Статьей 17 Закона № 98-ФЗ Правительству Российской Федерации предоставлено право в 2020 году принимать решения, предусматривающие особенности организации и осуществления видов федерального государственного контроля (надзора), в отношении которых применяются положения Закона № 294-ФЗ, включая</w:t>
      </w:r>
      <w:r w:rsidRPr="002618D2">
        <w:rPr>
          <w:rStyle w:val="80"/>
          <w:sz w:val="28"/>
          <w:szCs w:val="28"/>
        </w:rPr>
        <w:t xml:space="preserve"> особенности осуществления видов государственного контроля (надзора), указанных в частях З</w:t>
      </w:r>
      <w:r w:rsidRPr="002618D2">
        <w:rPr>
          <w:rStyle w:val="80"/>
          <w:sz w:val="28"/>
          <w:szCs w:val="28"/>
          <w:vertAlign w:val="superscript"/>
        </w:rPr>
        <w:t>1</w:t>
      </w:r>
      <w:r w:rsidRPr="002618D2">
        <w:rPr>
          <w:rStyle w:val="80"/>
          <w:sz w:val="28"/>
          <w:szCs w:val="28"/>
        </w:rPr>
        <w:t xml:space="preserve"> и 4 статьи 1 Закона № 294-ФЗ, в том числе в части, касающейся вида, предмета, оснований проведения проверок и иных мероприятий по контролю, сроков и периодичности их проведения, уведомлений о проведении внеплановых выездных проверок и согласования проведения проверок с органами прокуратуры, оснований завершения (отмены) проверок, приостановления проведения проверок, возможностей проведения мероприятий по контролю с использованием средств дистанционного взаимодействия, в том числе </w:t>
      </w:r>
      <w:proofErr w:type="spellStart"/>
      <w:r w:rsidRPr="002618D2">
        <w:rPr>
          <w:rStyle w:val="80"/>
          <w:sz w:val="28"/>
          <w:szCs w:val="28"/>
        </w:rPr>
        <w:t>аудиосвязи</w:t>
      </w:r>
      <w:proofErr w:type="spellEnd"/>
      <w:r w:rsidRPr="002618D2">
        <w:rPr>
          <w:rStyle w:val="80"/>
          <w:sz w:val="28"/>
          <w:szCs w:val="28"/>
        </w:rPr>
        <w:t xml:space="preserve"> или видеосвязи, проверок при осуществлении лицензионного контроля, предусмотренного Федеральным законом от 04.05.2011 № 99-ФЗ «О лицензировании отдельных видов деятельности».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Style w:val="80"/>
          <w:sz w:val="28"/>
          <w:szCs w:val="28"/>
        </w:rPr>
        <w:lastRenderedPageBreak/>
        <w:t>Реализуя данное полномочие, Правительство Российской Федерации постановлением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постановление)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721FE5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Style w:val="80"/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Постановлением предоставлены дополнительные полномочия прокурорам по согласованию внеплановых проверок, назначенных в целях контроля исполнения ранее выданных предписаний об устранении нарушений, влекущих непосредственную угрозу причинения вреда жизни и здоровью граждан. 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С учетом пункта 7 постановления при согласовании проверки прокур</w:t>
      </w:r>
      <w:r w:rsidR="00721FE5" w:rsidRPr="002618D2">
        <w:rPr>
          <w:rStyle w:val="80"/>
          <w:sz w:val="28"/>
          <w:szCs w:val="28"/>
        </w:rPr>
        <w:t>атура района будет</w:t>
      </w:r>
      <w:r w:rsidRPr="002618D2">
        <w:rPr>
          <w:rStyle w:val="80"/>
          <w:sz w:val="28"/>
          <w:szCs w:val="28"/>
        </w:rPr>
        <w:t xml:space="preserve"> дополнительно определять возможность (либо недопустимость) ее проведения контролирующим органом с выездом на место.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Style w:val="80"/>
          <w:sz w:val="28"/>
          <w:szCs w:val="28"/>
        </w:rPr>
        <w:t>Аналогичные ограничения на осуществление внеплановых мероприятий по контролю (в том числе в части согласования с прокурором) установлены постановлением в отношении остальных категорий хозяйствующих субъектов и определено, что в 2020 году плановым проверкам могут быть подвергнуты лишь те из них,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Плановые мероприятия по контролю в отношении иных лиц подлежат исключению из Сводного плана проведения плановых проверок юридических лиц и индивидуальных предпринимателей на 2020 год (далее - Сводный план) в течение 7 рабочих дней после вступления в силу постановления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(далее - Правила).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Исключение из Сводного плана таких проверок должно осуществляться на основании абзацев 11-13 подпункта «а» пункта 7 Правил.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В силу пункта 5 постановления установленные ограничения контрольно-надзорной деятельности распространяются на все виды </w:t>
      </w:r>
      <w:r w:rsidRPr="002618D2">
        <w:rPr>
          <w:rStyle w:val="80"/>
          <w:sz w:val="28"/>
          <w:szCs w:val="28"/>
        </w:rPr>
        <w:lastRenderedPageBreak/>
        <w:t>государственного контроля (надзора) и муниципального контроля, в отношении которых применяются положения Закона № 294-ФЗ (в том числе перечисленные в частях З</w:t>
      </w:r>
      <w:r w:rsidRPr="002618D2">
        <w:rPr>
          <w:rStyle w:val="80"/>
          <w:sz w:val="28"/>
          <w:szCs w:val="28"/>
          <w:vertAlign w:val="superscript"/>
        </w:rPr>
        <w:t>1</w:t>
      </w:r>
      <w:r w:rsidRPr="002618D2">
        <w:rPr>
          <w:rStyle w:val="80"/>
          <w:sz w:val="28"/>
          <w:szCs w:val="28"/>
        </w:rPr>
        <w:t xml:space="preserve"> и 4 статьи 1, за исключением налогового и валютного контроля). Постановлением также определен порядок завершения назначенных, но не проведенных мероприятий по контролю.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Перечисленные законодательные новеллы следует учитывать в Вашей деятельности.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721FE5" w:rsidRDefault="00721FE5" w:rsidP="00721FE5">
      <w:pPr>
        <w:spacing w:line="240" w:lineRule="exact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Заместитель прокурора района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                       Л.З. Сопходоева        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147D5F" w:rsidRPr="00721FE5" w:rsidRDefault="00721FE5" w:rsidP="00721FE5">
      <w:pPr>
        <w:rPr>
          <w:color w:val="000000"/>
        </w:rPr>
      </w:pPr>
      <w:r>
        <w:rPr>
          <w:color w:val="000000"/>
        </w:rPr>
        <w:t>Т.В. Замбалова, тел. 8(39537)91367</w:t>
      </w:r>
    </w:p>
    <w:sectPr w:rsidR="00147D5F" w:rsidRPr="00721FE5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1C9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8D2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B9C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1FE5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15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F8AD1"/>
  <w15:docId w15:val="{FFFD82E3-EF5C-4185-AE6B-EA60F6F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Пользователь Windows</cp:lastModifiedBy>
  <cp:revision>16</cp:revision>
  <cp:lastPrinted>2020-04-22T10:21:00Z</cp:lastPrinted>
  <dcterms:created xsi:type="dcterms:W3CDTF">2018-10-15T07:47:00Z</dcterms:created>
  <dcterms:modified xsi:type="dcterms:W3CDTF">2020-04-23T02:58:00Z</dcterms:modified>
</cp:coreProperties>
</file>